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85" w:rsidRDefault="007D0685" w:rsidP="00B13A05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FORM 5</w:t>
      </w:r>
    </w:p>
    <w:p w:rsidR="00B13A05" w:rsidRDefault="00B13A05" w:rsidP="00B13A05">
      <w:pPr>
        <w:jc w:val="center"/>
        <w:rPr>
          <w:rFonts w:ascii="Times New Roman" w:hAnsi="Times New Roman"/>
          <w:b/>
          <w:szCs w:val="24"/>
        </w:rPr>
      </w:pPr>
      <w:r w:rsidRPr="00EE64F1">
        <w:rPr>
          <w:rFonts w:ascii="Times New Roman" w:hAnsi="Times New Roman"/>
          <w:b/>
          <w:szCs w:val="24"/>
        </w:rPr>
        <w:t>Municipal Alliance Committee Capacity Assessment Tool</w:t>
      </w:r>
    </w:p>
    <w:p w:rsidR="00B13A05" w:rsidRDefault="00B13A05" w:rsidP="00B13A05">
      <w:pPr>
        <w:jc w:val="center"/>
        <w:rPr>
          <w:rFonts w:ascii="Times New Roman" w:hAnsi="Times New Roman"/>
          <w:b/>
          <w:szCs w:val="24"/>
        </w:rPr>
      </w:pPr>
    </w:p>
    <w:p w:rsidR="00B13A05" w:rsidRDefault="00B13A05" w:rsidP="00B13A05">
      <w:pPr>
        <w:tabs>
          <w:tab w:val="left" w:pos="57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Alliance Name:                      County: </w:t>
      </w:r>
      <w:r w:rsidR="006779D9">
        <w:rPr>
          <w:rFonts w:ascii="Times New Roman" w:hAnsi="Times New Roman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  <w:b/>
          <w:szCs w:val="24"/>
        </w:rPr>
        <w:instrText xml:space="preserve"> FORMDROPDOWN </w:instrText>
      </w:r>
      <w:r w:rsidR="004E335B">
        <w:rPr>
          <w:rFonts w:ascii="Times New Roman" w:hAnsi="Times New Roman"/>
          <w:b/>
          <w:szCs w:val="24"/>
        </w:rPr>
      </w:r>
      <w:r w:rsidR="004E335B">
        <w:rPr>
          <w:rFonts w:ascii="Times New Roman" w:hAnsi="Times New Roman"/>
          <w:b/>
          <w:szCs w:val="24"/>
        </w:rPr>
        <w:fldChar w:fldCharType="separate"/>
      </w:r>
      <w:r w:rsidR="006779D9">
        <w:rPr>
          <w:rFonts w:ascii="Times New Roman" w:hAnsi="Times New Roman"/>
          <w:b/>
          <w:szCs w:val="24"/>
        </w:rPr>
        <w:fldChar w:fldCharType="end"/>
      </w:r>
      <w:r>
        <w:rPr>
          <w:rFonts w:ascii="Times New Roman" w:hAnsi="Times New Roman"/>
          <w:b/>
        </w:rPr>
        <w:tab/>
      </w:r>
      <w:r w:rsidR="00EA523F">
        <w:rPr>
          <w:rFonts w:ascii="Times New Roman" w:hAnsi="Times New Roman"/>
          <w:b/>
        </w:rPr>
        <w:t>Grant</w:t>
      </w:r>
      <w:r>
        <w:rPr>
          <w:rFonts w:ascii="Times New Roman" w:hAnsi="Times New Roman"/>
          <w:b/>
        </w:rPr>
        <w:t xml:space="preserve"> Year: </w:t>
      </w:r>
      <w:bookmarkStart w:id="1" w:name="Dropdown1"/>
      <w:r w:rsidR="006779D9">
        <w:rPr>
          <w:rFonts w:ascii="Times New Roman" w:hAnsi="Times New Roman"/>
          <w:b/>
          <w:szCs w:val="24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  <w:b/>
          <w:szCs w:val="24"/>
        </w:rPr>
        <w:instrText xml:space="preserve"> FORMDROPDOWN </w:instrText>
      </w:r>
      <w:r w:rsidR="004E335B">
        <w:rPr>
          <w:rFonts w:ascii="Times New Roman" w:hAnsi="Times New Roman"/>
          <w:b/>
          <w:szCs w:val="24"/>
        </w:rPr>
      </w:r>
      <w:r w:rsidR="004E335B">
        <w:rPr>
          <w:rFonts w:ascii="Times New Roman" w:hAnsi="Times New Roman"/>
          <w:b/>
          <w:szCs w:val="24"/>
        </w:rPr>
        <w:fldChar w:fldCharType="separate"/>
      </w:r>
      <w:r w:rsidR="006779D9">
        <w:rPr>
          <w:rFonts w:ascii="Times New Roman" w:hAnsi="Times New Roman"/>
          <w:b/>
          <w:szCs w:val="24"/>
        </w:rPr>
        <w:fldChar w:fldCharType="end"/>
      </w:r>
      <w:bookmarkEnd w:id="1"/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Last Updated: _____</w:t>
      </w:r>
    </w:p>
    <w:p w:rsidR="00B13A05" w:rsidRPr="00EE64F1" w:rsidRDefault="00B13A05" w:rsidP="00B13A05">
      <w:pPr>
        <w:jc w:val="center"/>
        <w:rPr>
          <w:rFonts w:ascii="Times New Roman" w:hAnsi="Times New Roman"/>
          <w:b/>
          <w:szCs w:val="24"/>
        </w:rPr>
      </w:pPr>
    </w:p>
    <w:p w:rsidR="00B13A05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>The assessment tool serves as BOTH a tool to evaluate the current capacity of the Municipal Alliance Committee and a resource to build-up and strengthen the structure and function of the Committee. The goal is to increase the Municipal Alliance’s community identity and participation to affect community-wide change.</w:t>
      </w:r>
    </w:p>
    <w:p w:rsidR="00B13A05" w:rsidRPr="00474488" w:rsidRDefault="00B13A05" w:rsidP="00B13A05">
      <w:pPr>
        <w:rPr>
          <w:rFonts w:ascii="Times New Roman" w:hAnsi="Times New Roman"/>
          <w:szCs w:val="16"/>
        </w:rPr>
      </w:pPr>
    </w:p>
    <w:p w:rsidR="00B13A05" w:rsidRPr="00474488" w:rsidRDefault="00B13A05" w:rsidP="00B13A05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>At a minimum, the assessment check list must be completed and included in the Strategic Plan and annual updates</w:t>
      </w:r>
    </w:p>
    <w:p w:rsidR="00B13A05" w:rsidRPr="00474488" w:rsidRDefault="00B13A05" w:rsidP="00B13A05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On a quarterly basis, it is recommended that the Municipal Alliance Committee will evaluate their Improvement Plan section. </w:t>
      </w:r>
    </w:p>
    <w:p w:rsidR="00B13A05" w:rsidRPr="00474488" w:rsidRDefault="00B13A05" w:rsidP="00B13A05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At a minimum, the outcomes of the Improvement Plan section will be reviewed by the county at the annual Site Visit. </w:t>
      </w:r>
    </w:p>
    <w:p w:rsidR="00B13A05" w:rsidRPr="00474488" w:rsidRDefault="00B13A05" w:rsidP="00B13A05">
      <w:pPr>
        <w:rPr>
          <w:rFonts w:ascii="Times New Roman" w:hAnsi="Times New Roman"/>
          <w:szCs w:val="16"/>
        </w:rPr>
      </w:pPr>
    </w:p>
    <w:p w:rsidR="00B13A05" w:rsidRPr="00474488" w:rsidRDefault="00B13A05" w:rsidP="00B13A05">
      <w:pPr>
        <w:ind w:right="720"/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It is important that the Improvement Plan be reassessed on a regular basis as capacity building is an ongoing and fluid process which is subject to both internal and external changes. </w:t>
      </w:r>
    </w:p>
    <w:p w:rsidR="00B13A05" w:rsidRPr="00474488" w:rsidRDefault="00B13A05" w:rsidP="00B13A05">
      <w:pPr>
        <w:ind w:right="720"/>
        <w:rPr>
          <w:rFonts w:ascii="Arial" w:hAnsi="Arial" w:cs="Arial"/>
          <w:szCs w:val="24"/>
        </w:rPr>
      </w:pPr>
    </w:p>
    <w:p w:rsidR="00B13A05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b/>
          <w:i/>
          <w:szCs w:val="24"/>
        </w:rPr>
        <w:t>Overall Section Score</w:t>
      </w:r>
      <w:r w:rsidRPr="00474488">
        <w:rPr>
          <w:rFonts w:ascii="Times New Roman" w:hAnsi="Times New Roman"/>
          <w:szCs w:val="24"/>
        </w:rPr>
        <w:t xml:space="preserve">:  Committee Members rate the Municipal Alliance’s </w:t>
      </w:r>
      <w:r w:rsidRPr="00474488">
        <w:rPr>
          <w:rFonts w:ascii="Times New Roman" w:hAnsi="Times New Roman"/>
          <w:szCs w:val="24"/>
          <w:u w:val="single"/>
        </w:rPr>
        <w:t>overall</w:t>
      </w:r>
      <w:r w:rsidRPr="00474488">
        <w:rPr>
          <w:rFonts w:ascii="Times New Roman" w:hAnsi="Times New Roman"/>
          <w:szCs w:val="24"/>
        </w:rPr>
        <w:t xml:space="preserve"> score in each category. </w:t>
      </w:r>
    </w:p>
    <w:p w:rsidR="00B13A05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                                       Scores are rated ‘1 through 5’; 5 is the highest score and 1 is the lowest score.  </w:t>
      </w:r>
    </w:p>
    <w:p w:rsidR="00B13A05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                                       All categories rated 2 or below must be addressed in the improvement plan section  </w:t>
      </w:r>
    </w:p>
    <w:p w:rsidR="00B13A05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                                       The committee may choose to strengthen any categories rated ‘3’ or above </w:t>
      </w:r>
    </w:p>
    <w:p w:rsidR="00B13A05" w:rsidRPr="00474488" w:rsidRDefault="00B13A05" w:rsidP="00B13A05">
      <w:pPr>
        <w:ind w:left="2280"/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 xml:space="preserve"> </w:t>
      </w:r>
    </w:p>
    <w:p w:rsidR="00474488" w:rsidRPr="00474488" w:rsidRDefault="00B13A05" w:rsidP="00B13A05">
      <w:pPr>
        <w:rPr>
          <w:rFonts w:ascii="Times New Roman" w:hAnsi="Times New Roman"/>
          <w:szCs w:val="24"/>
        </w:rPr>
      </w:pPr>
      <w:r w:rsidRPr="00474488">
        <w:rPr>
          <w:rFonts w:ascii="Times New Roman" w:hAnsi="Times New Roman"/>
          <w:szCs w:val="24"/>
        </w:rPr>
        <w:t>Date of Assessment: _____________________            Number of members participating in the assessment:    _______</w:t>
      </w:r>
    </w:p>
    <w:p w:rsidR="00474488" w:rsidRP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474488" w:rsidRDefault="00474488" w:rsidP="00B13A05">
      <w:pPr>
        <w:rPr>
          <w:rFonts w:ascii="Times New Roman" w:hAnsi="Times New Roman"/>
          <w:szCs w:val="24"/>
        </w:rPr>
      </w:pPr>
    </w:p>
    <w:p w:rsidR="00B13A05" w:rsidRPr="00EE64F1" w:rsidRDefault="00B13A05" w:rsidP="00B13A05">
      <w:pPr>
        <w:rPr>
          <w:rFonts w:ascii="Times New Roman" w:hAnsi="Times New Roman"/>
          <w:szCs w:val="24"/>
        </w:rPr>
      </w:pPr>
    </w:p>
    <w:p w:rsidR="00B13A05" w:rsidRPr="00EE64F1" w:rsidRDefault="00B13A05" w:rsidP="00B13A05">
      <w:pPr>
        <w:rPr>
          <w:rFonts w:ascii="Times New Roman" w:hAnsi="Times New Roman"/>
          <w:szCs w:val="24"/>
        </w:rPr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193"/>
        <w:gridCol w:w="1022"/>
        <w:gridCol w:w="3555"/>
        <w:gridCol w:w="3149"/>
      </w:tblGrid>
      <w:tr w:rsidR="00B13A05" w:rsidRPr="00EE64F1" w:rsidTr="00474488">
        <w:trPr>
          <w:trHeight w:val="561"/>
          <w:jc w:val="center"/>
        </w:trPr>
        <w:tc>
          <w:tcPr>
            <w:tcW w:w="2203" w:type="dxa"/>
          </w:tcPr>
          <w:p w:rsidR="00B13A05" w:rsidRPr="00EE64F1" w:rsidRDefault="00B13A05" w:rsidP="007912E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</w:rPr>
              <w:lastRenderedPageBreak/>
              <w:t>Category</w:t>
            </w:r>
          </w:p>
        </w:tc>
        <w:tc>
          <w:tcPr>
            <w:tcW w:w="4193" w:type="dxa"/>
          </w:tcPr>
          <w:p w:rsidR="00B13A05" w:rsidRPr="00EE64F1" w:rsidRDefault="00B13A05" w:rsidP="007912EC">
            <w:pPr>
              <w:ind w:left="7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</w:rPr>
              <w:t>Considerations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</w:rPr>
              <w:t>Overall Section Score</w:t>
            </w: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</w:rPr>
              <w:t>Successes/Challenges/Comments</w:t>
            </w: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</w:rPr>
              <w:t>Improvement Plan</w:t>
            </w:r>
          </w:p>
          <w:p w:rsidR="00B13A05" w:rsidRPr="00EE64F1" w:rsidRDefault="00B13A05" w:rsidP="007912EC">
            <w:pPr>
              <w:ind w:left="72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  <w:r w:rsidRPr="00EE64F1">
              <w:rPr>
                <w:rFonts w:ascii="Times New Roman" w:hAnsi="Times New Roman"/>
                <w:b/>
                <w:i/>
                <w:szCs w:val="24"/>
                <w:u w:val="single"/>
              </w:rPr>
              <w:t>Steps to build &amp; strengthen structure and function.</w:t>
            </w:r>
          </w:p>
        </w:tc>
      </w:tr>
      <w:tr w:rsidR="00B13A05" w:rsidRPr="00EE64F1" w:rsidTr="00474488">
        <w:trPr>
          <w:trHeight w:val="2257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BA20CA">
              <w:rPr>
                <w:rFonts w:ascii="Times New Roman" w:hAnsi="Times New Roman"/>
                <w:b/>
              </w:rPr>
              <w:t>A</w:t>
            </w:r>
            <w:r w:rsidRPr="00BA20CA">
              <w:rPr>
                <w:rFonts w:ascii="Times New Roman" w:hAnsi="Times New Roman"/>
                <w:b/>
                <w:szCs w:val="24"/>
              </w:rPr>
              <w:t>.</w:t>
            </w:r>
            <w:r w:rsidRPr="00EE64F1">
              <w:rPr>
                <w:rFonts w:ascii="Times New Roman" w:hAnsi="Times New Roman"/>
                <w:b/>
                <w:szCs w:val="24"/>
              </w:rPr>
              <w:t xml:space="preserve"> Membership</w:t>
            </w:r>
          </w:p>
          <w:p w:rsidR="00B13A05" w:rsidRPr="008C2198" w:rsidRDefault="008C2198" w:rsidP="00B13A0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(see suggested sectors on </w:t>
            </w:r>
            <w:r w:rsidR="0059000D" w:rsidRPr="008C2198">
              <w:rPr>
                <w:rFonts w:ascii="Times New Roman" w:hAnsi="Times New Roman"/>
                <w:szCs w:val="24"/>
              </w:rPr>
              <w:t>Form 3)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All sectors are represented on the committee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Community cultural demographics are represented on the committee.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The committee encourages collaborations with community partners.  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Diversity issues are discussed at meetings.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</w:rPr>
              <w:t>Cultural sub-groups are included in all aspects of the SPF (i.e. assessment, planning, implementation, evaluation, etc.) to insure cultural relevance.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Members receive copies of membership listing.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43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43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2387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B. Meeting Place/Time &amp; Room Preparation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6731E0" w:rsidRDefault="00B13A05" w:rsidP="006731E0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The meeting site is appropriate in size/location and represents the group as a Municipal government organization.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The meeting time fits-in with member schedules. 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There is adequate signage:   Members/ public easily locate the meeting place.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There is adequate seating prepared prior to the start of the meeting.  The seating </w:t>
            </w:r>
            <w:r w:rsidRPr="006731E0">
              <w:rPr>
                <w:rFonts w:ascii="Times New Roman" w:hAnsi="Times New Roman"/>
                <w:szCs w:val="24"/>
              </w:rPr>
              <w:lastRenderedPageBreak/>
              <w:t>arrangement is conducive to discussion.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Sign-In Sheets, Agendas, and Hand-Outs are visible and available.  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</w:tbl>
    <w:p w:rsidR="00474488" w:rsidRDefault="00474488">
      <w:pPr>
        <w:jc w:val="center"/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193"/>
        <w:gridCol w:w="1022"/>
        <w:gridCol w:w="3555"/>
        <w:gridCol w:w="3149"/>
      </w:tblGrid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 xml:space="preserve">C. Vision &amp; Mission Statements 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and Bylaws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6731E0" w:rsidRDefault="00B13A05" w:rsidP="006731E0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The Municipal Alliance has Vision and Mission Statements.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The Municipal Alliance’s Bylaws are current.    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Members have copies of the Vision and Mission Statements and Bylaws.  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The Vision and Mission Statements are available at each meeting.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D. Welcome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6731E0" w:rsidRDefault="00B13A05" w:rsidP="006731E0">
            <w:pPr>
              <w:pStyle w:val="ListParagraph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Current literature hand-outs about the Municipal Alliance are on file.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Special attention is given to New Members, Public Participants, Presenters, and Visitors at meetings; and they receive Alliance information.</w:t>
            </w:r>
          </w:p>
          <w:p w:rsidR="00B13A05" w:rsidRDefault="00B13A05" w:rsidP="006731E0">
            <w:pPr>
              <w:pStyle w:val="ListParagraph"/>
              <w:numPr>
                <w:ilvl w:val="0"/>
                <w:numId w:val="17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>Round Table introductions are conducted prior to start of each meeting.</w:t>
            </w:r>
          </w:p>
          <w:p w:rsidR="006731E0" w:rsidRDefault="006731E0" w:rsidP="006731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6731E0" w:rsidRPr="006731E0" w:rsidRDefault="006731E0" w:rsidP="006731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E. Decision Making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6731E0" w:rsidRDefault="00B13A05" w:rsidP="006731E0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A clear summary statement (motion) is presented to members prior to a vote.  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8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All members are given an opportunity to express opinions and participate in discussions.  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F. Program Information and Outcomes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7061B5" w:rsidRDefault="00B13A05" w:rsidP="007061B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Members are informed of activity/program descriptions, progress, and outcomes at each meeting.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14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G. Correspondence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7061B5" w:rsidRPr="007061B5" w:rsidRDefault="007061B5" w:rsidP="007061B5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Meeting reminders/follow-up and meeting minutes are sent to all members.</w:t>
            </w:r>
          </w:p>
          <w:p w:rsidR="00B13A05" w:rsidRPr="006731E0" w:rsidRDefault="00B13A05" w:rsidP="006731E0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731E0">
              <w:rPr>
                <w:rFonts w:ascii="Times New Roman" w:hAnsi="Times New Roman"/>
                <w:szCs w:val="24"/>
              </w:rPr>
              <w:t xml:space="preserve">Alliance Correspondence (Local, County, </w:t>
            </w:r>
            <w:proofErr w:type="gramStart"/>
            <w:r w:rsidRPr="006731E0">
              <w:rPr>
                <w:rFonts w:ascii="Times New Roman" w:hAnsi="Times New Roman"/>
                <w:szCs w:val="24"/>
              </w:rPr>
              <w:t>State</w:t>
            </w:r>
            <w:proofErr w:type="gramEnd"/>
            <w:r w:rsidRPr="006731E0">
              <w:rPr>
                <w:rFonts w:ascii="Times New Roman" w:hAnsi="Times New Roman"/>
                <w:szCs w:val="24"/>
              </w:rPr>
              <w:t xml:space="preserve">) is shared with members. 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</w:tbl>
    <w:p w:rsidR="00474488" w:rsidRDefault="00474488">
      <w:pPr>
        <w:jc w:val="center"/>
      </w:pP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4193"/>
        <w:gridCol w:w="1022"/>
        <w:gridCol w:w="3555"/>
        <w:gridCol w:w="3149"/>
      </w:tblGrid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H. Training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7061B5" w:rsidRDefault="00B13A05" w:rsidP="007061B5">
            <w:pPr>
              <w:pStyle w:val="ListParagraph"/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Training opportunities are available for members.  Cultural Competency training is provided and new members are oriented.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26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I. Acknowledgements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7061B5" w:rsidRDefault="00B13A05" w:rsidP="007061B5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The committee has a process in place for recognizing the efforts of volunteers or community partners.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J. Feedback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Default="00B13A05" w:rsidP="007061B5">
            <w:pPr>
              <w:pStyle w:val="ListParagraph"/>
              <w:numPr>
                <w:ilvl w:val="0"/>
                <w:numId w:val="23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 xml:space="preserve">Members are encouraged to make suggestions and share ideas regarding the organizational structure of the committee.  </w:t>
            </w:r>
          </w:p>
          <w:p w:rsidR="007061B5" w:rsidRDefault="007061B5" w:rsidP="007061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7061B5" w:rsidRDefault="007061B5" w:rsidP="007061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  <w:p w:rsidR="007061B5" w:rsidRPr="007061B5" w:rsidRDefault="007061B5" w:rsidP="007061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98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lastRenderedPageBreak/>
              <w:t>K. Resources and Collaborations</w:t>
            </w:r>
          </w:p>
          <w:p w:rsidR="00B13A05" w:rsidRPr="00EE64F1" w:rsidRDefault="00B13A05" w:rsidP="00B13A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93" w:type="dxa"/>
          </w:tcPr>
          <w:p w:rsidR="00B13A05" w:rsidRPr="007061B5" w:rsidRDefault="00B13A05" w:rsidP="007061B5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061B5">
              <w:rPr>
                <w:rFonts w:ascii="Times New Roman" w:hAnsi="Times New Roman"/>
                <w:szCs w:val="24"/>
              </w:rPr>
              <w:t xml:space="preserve">The Municipal Alliance maintains a list of membership resources </w:t>
            </w:r>
            <w:r w:rsidRPr="007061B5">
              <w:rPr>
                <w:rFonts w:ascii="Times New Roman" w:hAnsi="Times New Roman"/>
              </w:rPr>
              <w:t>(See Community Anti Drug Coalitions of America “</w:t>
            </w:r>
            <w:r w:rsidRPr="007061B5">
              <w:rPr>
                <w:rFonts w:ascii="Times New Roman" w:hAnsi="Times New Roman"/>
                <w:i/>
              </w:rPr>
              <w:t>Capacity Primer</w:t>
            </w:r>
            <w:r w:rsidRPr="007061B5">
              <w:rPr>
                <w:rFonts w:ascii="Times New Roman" w:hAnsi="Times New Roman"/>
              </w:rPr>
              <w:t>” p. 12-18 and Appendix 2 of the Guidelines</w:t>
            </w:r>
            <w:r w:rsidRPr="00EE64F1">
              <w:t>)</w:t>
            </w:r>
          </w:p>
          <w:p w:rsidR="00B13A05" w:rsidRPr="007061B5" w:rsidRDefault="00B13A05" w:rsidP="007061B5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The Municipal Alliance informs the governing body of programs and activities.</w:t>
            </w:r>
          </w:p>
          <w:p w:rsidR="00B13A05" w:rsidRPr="007061B5" w:rsidRDefault="00B13A05" w:rsidP="007061B5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>Community organizations are invited to Municipal Alliance Committee meetings to discuss ATOD issues and resources.</w:t>
            </w:r>
          </w:p>
          <w:p w:rsidR="00B13A05" w:rsidRPr="007061B5" w:rsidRDefault="00B13A05" w:rsidP="007061B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</w:rPr>
              <w:t>There is a listing of current Community Resources to build community partnerships.</w:t>
            </w:r>
          </w:p>
          <w:p w:rsidR="00B13A05" w:rsidRPr="007061B5" w:rsidRDefault="00B13A05" w:rsidP="007061B5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061B5">
              <w:rPr>
                <w:rFonts w:ascii="Times New Roman" w:hAnsi="Times New Roman"/>
                <w:szCs w:val="24"/>
              </w:rPr>
              <w:t xml:space="preserve">The Municipal Alliance supports other community organizations’ ATOD prevention programs. 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1061"/>
          <w:jc w:val="center"/>
        </w:trPr>
        <w:tc>
          <w:tcPr>
            <w:tcW w:w="2203" w:type="dxa"/>
          </w:tcPr>
          <w:p w:rsidR="00B13A05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</w:p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>L. Subcommittees</w:t>
            </w:r>
          </w:p>
        </w:tc>
        <w:tc>
          <w:tcPr>
            <w:tcW w:w="4193" w:type="dxa"/>
          </w:tcPr>
          <w:p w:rsidR="00B13A05" w:rsidRPr="007C0CE1" w:rsidRDefault="00B13A05" w:rsidP="007C0CE1">
            <w:pPr>
              <w:pStyle w:val="ListParagraph"/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7C0CE1">
              <w:rPr>
                <w:rFonts w:ascii="Times New Roman" w:hAnsi="Times New Roman"/>
                <w:szCs w:val="24"/>
              </w:rPr>
              <w:t xml:space="preserve">The Municipal Alliance creates subcommittees when appropriate to achieve the program and activity goals.  Relevant non-members are considered for inclusion on the subcommittee.  </w:t>
            </w: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  <w:tr w:rsidR="00B13A05" w:rsidRPr="00EE64F1" w:rsidTr="00474488">
        <w:trPr>
          <w:trHeight w:val="1115"/>
          <w:jc w:val="center"/>
        </w:trPr>
        <w:tc>
          <w:tcPr>
            <w:tcW w:w="2203" w:type="dxa"/>
          </w:tcPr>
          <w:p w:rsidR="00B13A05" w:rsidRPr="00EE64F1" w:rsidRDefault="00B13A05" w:rsidP="00B13A05">
            <w:pPr>
              <w:rPr>
                <w:rFonts w:ascii="Times New Roman" w:hAnsi="Times New Roman"/>
                <w:b/>
                <w:szCs w:val="24"/>
              </w:rPr>
            </w:pPr>
            <w:r w:rsidRPr="00EE64F1">
              <w:rPr>
                <w:rFonts w:ascii="Times New Roman" w:hAnsi="Times New Roman"/>
                <w:b/>
                <w:szCs w:val="24"/>
              </w:rPr>
              <w:t xml:space="preserve">M. </w:t>
            </w:r>
            <w:r>
              <w:rPr>
                <w:rFonts w:ascii="Times New Roman" w:hAnsi="Times New Roman"/>
                <w:b/>
                <w:szCs w:val="24"/>
              </w:rPr>
              <w:t xml:space="preserve">Other </w:t>
            </w:r>
            <w:r w:rsidRPr="00EE64F1">
              <w:rPr>
                <w:rFonts w:ascii="Times New Roman" w:hAnsi="Times New Roman"/>
                <w:b/>
                <w:szCs w:val="24"/>
              </w:rPr>
              <w:t>Suggestions</w:t>
            </w:r>
          </w:p>
        </w:tc>
        <w:tc>
          <w:tcPr>
            <w:tcW w:w="4193" w:type="dxa"/>
          </w:tcPr>
          <w:p w:rsidR="00B13A05" w:rsidRPr="00EE64F1" w:rsidRDefault="00B13A05" w:rsidP="007912EC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2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55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9" w:type="dxa"/>
          </w:tcPr>
          <w:p w:rsidR="00B13A05" w:rsidRPr="00EE64F1" w:rsidRDefault="00B13A05" w:rsidP="007912EC">
            <w:pPr>
              <w:ind w:left="72"/>
              <w:rPr>
                <w:rFonts w:ascii="Times New Roman" w:hAnsi="Times New Roman"/>
                <w:szCs w:val="24"/>
              </w:rPr>
            </w:pPr>
          </w:p>
        </w:tc>
      </w:tr>
    </w:tbl>
    <w:p w:rsidR="00DE22F4" w:rsidRDefault="00DE22F4" w:rsidP="00B13A05"/>
    <w:sectPr w:rsidR="00DE22F4" w:rsidSect="00B13A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4A" w:rsidRDefault="00571930">
      <w:r>
        <w:separator/>
      </w:r>
    </w:p>
  </w:endnote>
  <w:endnote w:type="continuationSeparator" w:id="0">
    <w:p w:rsidR="00C23B4A" w:rsidRDefault="005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4A" w:rsidRDefault="00571930">
      <w:r>
        <w:separator/>
      </w:r>
    </w:p>
  </w:footnote>
  <w:footnote w:type="continuationSeparator" w:id="0">
    <w:p w:rsidR="00C23B4A" w:rsidRDefault="0057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930" w:rsidRPr="008409F0" w:rsidRDefault="00571930" w:rsidP="00571930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>Governor’s Council on Alcoholism and Drug Abuse</w:t>
    </w:r>
  </w:p>
  <w:p w:rsidR="00571930" w:rsidRDefault="00571930" w:rsidP="00571930">
    <w:pPr>
      <w:pStyle w:val="Header"/>
      <w:jc w:val="center"/>
      <w:rPr>
        <w:rFonts w:ascii="Calibri" w:hAnsi="Calibri"/>
      </w:rPr>
    </w:pPr>
    <w:r w:rsidRPr="008409F0">
      <w:rPr>
        <w:rFonts w:ascii="Calibri" w:hAnsi="Calibri"/>
      </w:rPr>
      <w:t xml:space="preserve">Fiscal Grant Cycle </w:t>
    </w:r>
    <w:r>
      <w:rPr>
        <w:rFonts w:ascii="Calibri" w:hAnsi="Calibri"/>
      </w:rPr>
      <w:t xml:space="preserve">July </w:t>
    </w:r>
    <w:r w:rsidR="0059000D">
      <w:rPr>
        <w:rFonts w:ascii="Calibri" w:hAnsi="Calibri"/>
      </w:rPr>
      <w:t>2020</w:t>
    </w:r>
    <w:r w:rsidRPr="008409F0">
      <w:rPr>
        <w:rFonts w:ascii="Calibri" w:hAnsi="Calibri"/>
      </w:rPr>
      <w:t>-</w:t>
    </w:r>
    <w:r w:rsidR="0059000D">
      <w:rPr>
        <w:rFonts w:ascii="Calibri" w:hAnsi="Calibri"/>
      </w:rPr>
      <w:t>June 2025</w:t>
    </w:r>
  </w:p>
  <w:p w:rsidR="00474488" w:rsidRDefault="00474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B"/>
    <w:multiLevelType w:val="hybridMultilevel"/>
    <w:tmpl w:val="C4EAFD1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1542286"/>
    <w:multiLevelType w:val="hybridMultilevel"/>
    <w:tmpl w:val="4E2C3BA4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290"/>
    <w:multiLevelType w:val="hybridMultilevel"/>
    <w:tmpl w:val="ED628468"/>
    <w:lvl w:ilvl="0" w:tplc="0409000F">
      <w:start w:val="1"/>
      <w:numFmt w:val="decimal"/>
      <w:lvlText w:val="%1."/>
      <w:lvlJc w:val="left"/>
      <w:pPr>
        <w:tabs>
          <w:tab w:val="num" w:pos="414"/>
        </w:tabs>
        <w:ind w:left="486" w:hanging="216"/>
      </w:pPr>
      <w:rPr>
        <w:rFonts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2C6FC8"/>
    <w:multiLevelType w:val="hybridMultilevel"/>
    <w:tmpl w:val="118C7FBA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  <w:sz w:val="18"/>
      </w:rPr>
    </w:lvl>
    <w:lvl w:ilvl="1" w:tplc="2C76080C">
      <w:start w:val="1"/>
      <w:numFmt w:val="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5F29"/>
    <w:multiLevelType w:val="hybridMultilevel"/>
    <w:tmpl w:val="0F0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3B44"/>
    <w:multiLevelType w:val="hybridMultilevel"/>
    <w:tmpl w:val="AEA8D44C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2967"/>
    <w:multiLevelType w:val="hybridMultilevel"/>
    <w:tmpl w:val="A3440504"/>
    <w:lvl w:ilvl="0" w:tplc="13D08E24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cs="Times New Roman" w:hint="default"/>
        <w:b/>
        <w:i/>
        <w:strike w:val="0"/>
        <w:color w:val="7030A0"/>
        <w:sz w:val="16"/>
        <w:u w:val="single"/>
      </w:rPr>
    </w:lvl>
    <w:lvl w:ilvl="1" w:tplc="C5F2763A">
      <w:start w:val="1"/>
      <w:numFmt w:val="decimal"/>
      <w:lvlText w:val="%2."/>
      <w:lvlJc w:val="left"/>
      <w:pPr>
        <w:tabs>
          <w:tab w:val="num" w:pos="360"/>
        </w:tabs>
        <w:ind w:left="432" w:hanging="288"/>
      </w:pPr>
      <w:rPr>
        <w:rFonts w:cs="Times New Roman" w:hint="default"/>
        <w:b w:val="0"/>
        <w:i w:val="0"/>
        <w:strike w:val="0"/>
        <w:color w:val="auto"/>
        <w:sz w:val="16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2962"/>
    <w:multiLevelType w:val="hybridMultilevel"/>
    <w:tmpl w:val="00D082A0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08C551D"/>
    <w:multiLevelType w:val="hybridMultilevel"/>
    <w:tmpl w:val="F9FC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4441"/>
    <w:multiLevelType w:val="hybridMultilevel"/>
    <w:tmpl w:val="FFFACB36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1C91C79"/>
    <w:multiLevelType w:val="hybridMultilevel"/>
    <w:tmpl w:val="29B0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15665"/>
    <w:multiLevelType w:val="hybridMultilevel"/>
    <w:tmpl w:val="680A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B6DE9"/>
    <w:multiLevelType w:val="hybridMultilevel"/>
    <w:tmpl w:val="4BE6408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EE7528F"/>
    <w:multiLevelType w:val="hybridMultilevel"/>
    <w:tmpl w:val="6D56F26A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0763F22"/>
    <w:multiLevelType w:val="hybridMultilevel"/>
    <w:tmpl w:val="21A4F592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4577F0E"/>
    <w:multiLevelType w:val="hybridMultilevel"/>
    <w:tmpl w:val="F72AC2F6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6237C97"/>
    <w:multiLevelType w:val="hybridMultilevel"/>
    <w:tmpl w:val="E93E7E22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C0B9E"/>
    <w:multiLevelType w:val="hybridMultilevel"/>
    <w:tmpl w:val="FFFACB36"/>
    <w:lvl w:ilvl="0" w:tplc="3FDE74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4CC27040"/>
    <w:multiLevelType w:val="hybridMultilevel"/>
    <w:tmpl w:val="18DE49D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3A53B49"/>
    <w:multiLevelType w:val="hybridMultilevel"/>
    <w:tmpl w:val="F9329C3C"/>
    <w:lvl w:ilvl="0" w:tplc="3D680906">
      <w:start w:val="1"/>
      <w:numFmt w:val="decimal"/>
      <w:lvlText w:val="%1."/>
      <w:lvlJc w:val="left"/>
      <w:pPr>
        <w:ind w:left="43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43B104C"/>
    <w:multiLevelType w:val="hybridMultilevel"/>
    <w:tmpl w:val="B6FEBD3A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  <w:sz w:val="18"/>
      </w:rPr>
    </w:lvl>
    <w:lvl w:ilvl="1" w:tplc="2C76080C">
      <w:start w:val="1"/>
      <w:numFmt w:val="bullet"/>
      <w:lvlText w:val=""/>
      <w:lvlJc w:val="left"/>
      <w:pPr>
        <w:tabs>
          <w:tab w:val="num" w:pos="1224"/>
        </w:tabs>
        <w:ind w:left="1296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B10"/>
    <w:multiLevelType w:val="hybridMultilevel"/>
    <w:tmpl w:val="459E528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EC24D93"/>
    <w:multiLevelType w:val="hybridMultilevel"/>
    <w:tmpl w:val="8C620120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828" w:hanging="288"/>
      </w:pPr>
      <w:rPr>
        <w:rFonts w:hint="default"/>
        <w:sz w:val="18"/>
      </w:rPr>
    </w:lvl>
    <w:lvl w:ilvl="1" w:tplc="2C76080C">
      <w:start w:val="1"/>
      <w:numFmt w:val="bullet"/>
      <w:lvlText w:val=""/>
      <w:lvlJc w:val="left"/>
      <w:pPr>
        <w:tabs>
          <w:tab w:val="num" w:pos="1692"/>
        </w:tabs>
        <w:ind w:left="1764" w:hanging="216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6F2B23C4"/>
    <w:multiLevelType w:val="hybridMultilevel"/>
    <w:tmpl w:val="ADFC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2C14"/>
    <w:multiLevelType w:val="hybridMultilevel"/>
    <w:tmpl w:val="6E2856C4"/>
    <w:lvl w:ilvl="0" w:tplc="66DE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1"/>
  </w:num>
  <w:num w:numId="5">
    <w:abstractNumId w:val="16"/>
  </w:num>
  <w:num w:numId="6">
    <w:abstractNumId w:val="5"/>
  </w:num>
  <w:num w:numId="7">
    <w:abstractNumId w:val="3"/>
  </w:num>
  <w:num w:numId="8">
    <w:abstractNumId w:val="20"/>
  </w:num>
  <w:num w:numId="9">
    <w:abstractNumId w:val="22"/>
  </w:num>
  <w:num w:numId="10">
    <w:abstractNumId w:val="19"/>
  </w:num>
  <w:num w:numId="11">
    <w:abstractNumId w:val="4"/>
  </w:num>
  <w:num w:numId="12">
    <w:abstractNumId w:val="10"/>
  </w:num>
  <w:num w:numId="13">
    <w:abstractNumId w:val="23"/>
  </w:num>
  <w:num w:numId="14">
    <w:abstractNumId w:val="8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2"/>
  </w:num>
  <w:num w:numId="20">
    <w:abstractNumId w:val="14"/>
  </w:num>
  <w:num w:numId="21">
    <w:abstractNumId w:val="15"/>
  </w:num>
  <w:num w:numId="22">
    <w:abstractNumId w:val="13"/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05"/>
    <w:rsid w:val="00043384"/>
    <w:rsid w:val="0009257A"/>
    <w:rsid w:val="0012657D"/>
    <w:rsid w:val="00231C7B"/>
    <w:rsid w:val="0032154A"/>
    <w:rsid w:val="00414058"/>
    <w:rsid w:val="00474488"/>
    <w:rsid w:val="004E335B"/>
    <w:rsid w:val="00571930"/>
    <w:rsid w:val="0059000D"/>
    <w:rsid w:val="006731E0"/>
    <w:rsid w:val="006779D9"/>
    <w:rsid w:val="007061B5"/>
    <w:rsid w:val="007C0CE1"/>
    <w:rsid w:val="007D0685"/>
    <w:rsid w:val="0080369C"/>
    <w:rsid w:val="00866DA3"/>
    <w:rsid w:val="008C2198"/>
    <w:rsid w:val="009B6AA9"/>
    <w:rsid w:val="00A87C6E"/>
    <w:rsid w:val="00B13407"/>
    <w:rsid w:val="00B13A05"/>
    <w:rsid w:val="00B82956"/>
    <w:rsid w:val="00BF3CDB"/>
    <w:rsid w:val="00C078A6"/>
    <w:rsid w:val="00C23B4A"/>
    <w:rsid w:val="00DA4881"/>
    <w:rsid w:val="00DE22F4"/>
    <w:rsid w:val="00E60AC8"/>
    <w:rsid w:val="00EA24BE"/>
    <w:rsid w:val="00EA523F"/>
    <w:rsid w:val="00F37B94"/>
    <w:rsid w:val="00FF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75370-278B-413E-B89E-3181E43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0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488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4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488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Treasury Technology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Alfaro</dc:creator>
  <cp:lastModifiedBy>Thode, Sara</cp:lastModifiedBy>
  <cp:revision>2</cp:revision>
  <cp:lastPrinted>2013-07-12T20:25:00Z</cp:lastPrinted>
  <dcterms:created xsi:type="dcterms:W3CDTF">2019-09-05T13:48:00Z</dcterms:created>
  <dcterms:modified xsi:type="dcterms:W3CDTF">2019-09-05T13:48:00Z</dcterms:modified>
</cp:coreProperties>
</file>